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04.06.2020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«Бердянська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 санаторна школа-інтернат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9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«Гуляйпільська</w:t>
            </w:r>
          </w:p>
          <w:p>
            <w:pPr>
              <w:pStyle w:val="TableParagraph"/>
              <w:spacing w:line="220" w:lineRule="atLeast" w:before="0"/>
              <w:ind w:left="30" w:right="15"/>
              <w:rPr>
                <w:sz w:val="17"/>
              </w:rPr>
            </w:pPr>
            <w:r>
              <w:rPr>
                <w:sz w:val="17"/>
              </w:rPr>
              <w:t>спеціальна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повне державне 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«Гуляйпільська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повне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«Гуляйпільська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повне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«Запорізький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обласний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спеціалізований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11.04.2019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74/6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02.04.2020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65/8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усиновлення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відповідність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інтересам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91/9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укладення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спадкового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договору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92/1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попереднім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новим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місцем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проживання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92/2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попереднім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новим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місцем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проживання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jc w:val="center"/>
              <w:rPr>
                <w:sz w:val="17"/>
              </w:rPr>
            </w:pPr>
            <w:r>
              <w:rPr>
                <w:sz w:val="17"/>
              </w:rPr>
              <w:t>92/3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53" w:right="45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36"/>
              <w:rPr>
                <w:sz w:val="17"/>
              </w:rPr>
            </w:pPr>
            <w:r>
              <w:rPr>
                <w:sz w:val="17"/>
              </w:rPr>
              <w:t>Про схвалення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проекту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52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VII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18.11.2019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8/1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місцевий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(2310700000)»</w:t>
            </w:r>
          </w:p>
        </w:tc>
        <w:tc>
          <w:tcPr>
            <w:tcW w:w="663" w:type="dxa"/>
          </w:tcPr>
          <w:p>
            <w:pPr>
              <w:pStyle w:val="TableParagraph"/>
              <w:ind w:left="53" w:right="45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2240" w:h="15840"/>
          <w:pgMar w:top="1020" w:bottom="1308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95/1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продовження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терміну  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проживання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гуртожитку</w:t>
            </w:r>
          </w:p>
        </w:tc>
        <w:tc>
          <w:tcPr>
            <w:tcW w:w="66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95/2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продовження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терміну  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проживання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гуртожитку</w:t>
            </w:r>
          </w:p>
        </w:tc>
        <w:tc>
          <w:tcPr>
            <w:tcW w:w="66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95/3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  <w:tab/>
              <w:t>надання</w:t>
              <w:tab/>
              <w:t>спеціального</w:t>
              <w:tab/>
              <w:t>зонального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погодження</w:t>
            </w:r>
          </w:p>
        </w:tc>
        <w:tc>
          <w:tcPr>
            <w:tcW w:w="663" w:type="dxa"/>
          </w:tcPr>
          <w:p>
            <w:pPr>
              <w:pStyle w:val="TableParagraph"/>
              <w:ind w:right="231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313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 Запорізької області безоплатної 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баланси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spacing w:line="271" w:lineRule="auto" w:before="0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стоматологічна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поліклініка»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області та КНП «Центр лікувально-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діагностичної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лабораторної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right="231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дозволів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об’єктів</w:t>
            </w:r>
          </w:p>
          <w:p>
            <w:pPr>
              <w:pStyle w:val="TableParagraph"/>
              <w:spacing w:line="191" w:lineRule="exact" w:before="26"/>
              <w:ind w:left="30"/>
              <w:rPr>
                <w:sz w:val="17"/>
              </w:rPr>
            </w:pPr>
            <w:r>
              <w:rPr>
                <w:sz w:val="17"/>
              </w:rPr>
              <w:t>зовнішньої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реклами</w:t>
            </w:r>
          </w:p>
        </w:tc>
        <w:tc>
          <w:tcPr>
            <w:tcW w:w="663" w:type="dxa"/>
          </w:tcPr>
          <w:p>
            <w:pPr>
              <w:pStyle w:val="TableParagraph"/>
              <w:ind w:right="231"/>
              <w:jc w:val="right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житлово-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господарства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соціально-побутової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сфери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опалювального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періоду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2020-2021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років</w:t>
            </w:r>
          </w:p>
        </w:tc>
        <w:tc>
          <w:tcPr>
            <w:tcW w:w="66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99/1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99/2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області  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8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10/2</w:t>
            </w:r>
          </w:p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розмірів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обслуговування вузла(ів) комерційного обліку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тепла,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їх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розподілу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між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споживачами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ТОВ</w:t>
            </w:r>
          </w:p>
          <w:p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sz w:val="17"/>
              </w:rPr>
              <w:t>«ТЕПЛО-МЕЛІТОПОЛЬ»</w:t>
            </w:r>
          </w:p>
        </w:tc>
        <w:tc>
          <w:tcPr>
            <w:tcW w:w="663" w:type="dxa"/>
          </w:tcPr>
          <w:p>
            <w:pPr>
              <w:pStyle w:val="TableParagraph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тимчасових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перевізників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пасажирів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маршрутах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проходять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межах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№№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11а,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15,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16а,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22,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24,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24а</w:t>
            </w:r>
          </w:p>
        </w:tc>
        <w:tc>
          <w:tcPr>
            <w:tcW w:w="663" w:type="dxa"/>
          </w:tcPr>
          <w:p>
            <w:pPr>
              <w:pStyle w:val="TableParagraph"/>
              <w:ind w:right="121"/>
              <w:jc w:val="right"/>
              <w:rPr>
                <w:sz w:val="17"/>
              </w:rPr>
            </w:pPr>
            <w:r>
              <w:rPr>
                <w:sz w:val="17"/>
              </w:rPr>
              <w:t>101/1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27.02.2020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49</w:t>
            </w:r>
          </w:p>
        </w:tc>
        <w:tc>
          <w:tcPr>
            <w:tcW w:w="663" w:type="dxa"/>
          </w:tcPr>
          <w:p>
            <w:pPr>
              <w:pStyle w:val="TableParagraph"/>
              <w:ind w:right="121"/>
              <w:jc w:val="right"/>
              <w:rPr>
                <w:sz w:val="17"/>
              </w:rPr>
            </w:pPr>
            <w:r>
              <w:rPr>
                <w:sz w:val="17"/>
              </w:rPr>
              <w:t>101/2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уповноважених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організації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процедур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закупівель/спрощених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закупівель 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 про уповноважену особу (осіб)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12.01.2017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12.04.2018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№78</w:t>
            </w:r>
          </w:p>
        </w:tc>
        <w:tc>
          <w:tcPr>
            <w:tcW w:w="663" w:type="dxa"/>
          </w:tcPr>
          <w:p>
            <w:pPr>
              <w:pStyle w:val="TableParagraph"/>
              <w:ind w:left="53" w:right="45"/>
              <w:jc w:val="center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256</w:t>
            </w:r>
          </w:p>
        </w:tc>
        <w:tc>
          <w:tcPr>
            <w:tcW w:w="663" w:type="dxa"/>
          </w:tcPr>
          <w:p>
            <w:pPr>
              <w:pStyle w:val="TableParagraph"/>
              <w:ind w:left="53" w:right="45"/>
              <w:jc w:val="center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04/06/2020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2021-09-15T04:51:36Z</dcterms:created>
  <dcterms:modified xsi:type="dcterms:W3CDTF">2021-09-15T04:51:36Z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